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D90A8" w14:textId="185CB628" w:rsidR="004A2545" w:rsidRPr="002E16F4" w:rsidRDefault="004A2545" w:rsidP="004A2545">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 </w:t>
      </w:r>
      <w:r w:rsidRPr="00926446">
        <w:rPr>
          <w:rFonts w:ascii="Arial" w:eastAsia="Batang" w:hAnsi="Arial" w:cs="Arial"/>
          <w:b/>
          <w:bCs/>
          <w:sz w:val="28"/>
          <w:szCs w:val="24"/>
        </w:rPr>
        <w:t>10</w:t>
      </w:r>
      <w:r>
        <w:rPr>
          <w:rFonts w:ascii="Arial" w:eastAsia="Batang" w:hAnsi="Arial" w:cs="Arial"/>
          <w:b/>
          <w:bCs/>
          <w:sz w:val="28"/>
          <w:szCs w:val="24"/>
        </w:rPr>
        <w:t xml:space="preserve">3-e                                                                 </w:t>
      </w:r>
      <w:r w:rsidR="00963763" w:rsidRPr="00963763">
        <w:rPr>
          <w:rFonts w:ascii="Arial" w:eastAsia="Batang" w:hAnsi="Arial" w:cs="Arial"/>
          <w:b/>
          <w:bCs/>
          <w:sz w:val="28"/>
          <w:szCs w:val="24"/>
        </w:rPr>
        <w:t>R1-2008991</w:t>
      </w:r>
    </w:p>
    <w:p w14:paraId="1C206E17" w14:textId="7C810BAB" w:rsidR="004F13DA" w:rsidRPr="002E16F4" w:rsidRDefault="004A2545" w:rsidP="004A2545">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xml:space="preserve">, </w:t>
      </w:r>
      <w:r w:rsidRPr="00030A95">
        <w:rPr>
          <w:rFonts w:ascii="Arial" w:eastAsia="MS Mincho" w:hAnsi="Arial" w:cs="Arial"/>
          <w:b/>
          <w:bCs/>
          <w:sz w:val="28"/>
          <w:szCs w:val="24"/>
          <w:lang w:eastAsia="ja-JP"/>
        </w:rPr>
        <w:t>October 26</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 November 13</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2020</w:t>
      </w:r>
      <w:r w:rsidR="00791321">
        <w:rPr>
          <w:rFonts w:ascii="Arial" w:eastAsia="MS Mincho" w:hAnsi="Arial" w:cs="Arial"/>
          <w:b/>
          <w:bCs/>
          <w:sz w:val="28"/>
          <w:szCs w:val="24"/>
          <w:lang w:eastAsia="ja-JP"/>
        </w:rPr>
        <w:t>s</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3F9DD2A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E24F4">
        <w:rPr>
          <w:rFonts w:ascii="Arial" w:eastAsia="Malgun Gothic" w:hAnsi="Arial" w:cs="Arial"/>
          <w:b/>
          <w:sz w:val="24"/>
          <w:lang w:val="en-US" w:eastAsia="ko-KR"/>
        </w:rPr>
        <w:t>HARQ</w:t>
      </w:r>
      <w:r w:rsidR="00FC70BF" w:rsidRPr="00FC70BF">
        <w:rPr>
          <w:rFonts w:ascii="Arial" w:eastAsia="Malgun Gothic" w:hAnsi="Arial" w:cs="Arial"/>
          <w:b/>
          <w:sz w:val="24"/>
          <w:lang w:val="en-US" w:eastAsia="ko-KR"/>
        </w:rPr>
        <w:t xml:space="preserve"> enhancements</w:t>
      </w:r>
      <w:r w:rsidR="00D2228D">
        <w:rPr>
          <w:rFonts w:ascii="Arial" w:eastAsia="Malgun Gothic" w:hAnsi="Arial" w:cs="Arial"/>
          <w:b/>
          <w:sz w:val="24"/>
          <w:lang w:val="en-US" w:eastAsia="ko-KR"/>
        </w:rPr>
        <w:t xml:space="preserve"> for NTN</w:t>
      </w:r>
    </w:p>
    <w:p w14:paraId="3596330A" w14:textId="3C8A6A3D"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w:t>
      </w:r>
      <w:r w:rsidR="00DC7CA3">
        <w:rPr>
          <w:rFonts w:ascii="Arial" w:hAnsi="Arial" w:cs="Arial"/>
          <w:b/>
          <w:sz w:val="24"/>
          <w:lang w:val="en-US"/>
        </w:rPr>
        <w:t>3</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53CB54F7"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6D61F82B"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According to the</w:t>
      </w:r>
      <w:r w:rsidR="00F21AEC">
        <w:rPr>
          <w:sz w:val="22"/>
          <w:szCs w:val="22"/>
          <w:lang w:eastAsia="ko-KR"/>
        </w:rPr>
        <w:t xml:space="preserve"> </w:t>
      </w:r>
      <w:r w:rsidR="00F21AEC" w:rsidRPr="00F21AEC">
        <w:rPr>
          <w:sz w:val="22"/>
          <w:szCs w:val="22"/>
          <w:lang w:eastAsia="ko-KR"/>
        </w:rPr>
        <w:t xml:space="preserve">3GPP TR 38.821 </w:t>
      </w:r>
      <w:r w:rsidRPr="000B4ADF">
        <w:rPr>
          <w:sz w:val="22"/>
          <w:szCs w:val="22"/>
          <w:lang w:eastAsia="ko-KR"/>
        </w:rPr>
        <w:t>[2] there are some issues to support NTN with 5G NR due to long propagation delays, large Doppler effects, and moving cells</w:t>
      </w:r>
      <w:r w:rsidR="001E181F" w:rsidRPr="000B4ADF">
        <w:rPr>
          <w:sz w:val="22"/>
          <w:szCs w:val="22"/>
          <w:lang w:eastAsia="ko-KR"/>
        </w:rPr>
        <w:t xml:space="preserve">. </w:t>
      </w:r>
      <w:r w:rsidR="005A75DF">
        <w:rPr>
          <w:sz w:val="22"/>
          <w:szCs w:val="22"/>
          <w:lang w:eastAsia="ko-KR"/>
        </w:rPr>
        <w:t xml:space="preserve">Multiple features of NR specification should be enhanced to support NTN including </w:t>
      </w:r>
      <w:r w:rsidR="004C039E">
        <w:rPr>
          <w:sz w:val="22"/>
          <w:szCs w:val="22"/>
          <w:lang w:eastAsia="ko-KR"/>
        </w:rPr>
        <w:t>HARQ</w:t>
      </w:r>
      <w:r w:rsidR="005A75DF">
        <w:rPr>
          <w:sz w:val="22"/>
          <w:szCs w:val="22"/>
          <w:lang w:eastAsia="ko-KR"/>
        </w:rPr>
        <w:t xml:space="preserve">. </w:t>
      </w:r>
      <w:r w:rsidR="00CF1A10">
        <w:rPr>
          <w:sz w:val="22"/>
          <w:szCs w:val="22"/>
          <w:lang w:eastAsia="ko-KR"/>
        </w:rPr>
        <w:t xml:space="preserve">During the study item phase two main aspects for HARQ were discussed: disabling of HARQ for NR NTN and increased number of HARQ processes [2]. </w:t>
      </w:r>
      <w:r w:rsidR="005A75DF">
        <w:rPr>
          <w:sz w:val="22"/>
          <w:szCs w:val="22"/>
          <w:lang w:eastAsia="ko-KR"/>
        </w:rPr>
        <w:t xml:space="preserve">In this contribution </w:t>
      </w:r>
      <w:r w:rsidR="004C039E">
        <w:rPr>
          <w:sz w:val="22"/>
          <w:szCs w:val="22"/>
          <w:lang w:eastAsia="ko-KR"/>
        </w:rPr>
        <w:t>HARQ</w:t>
      </w:r>
      <w:r w:rsidR="005A75DF" w:rsidRPr="005A75DF">
        <w:rPr>
          <w:sz w:val="22"/>
          <w:szCs w:val="22"/>
          <w:lang w:eastAsia="ko-KR"/>
        </w:rPr>
        <w:t xml:space="preserve"> enhancements for N</w:t>
      </w:r>
      <w:r w:rsidR="005A75DF">
        <w:rPr>
          <w:sz w:val="22"/>
          <w:szCs w:val="22"/>
          <w:lang w:eastAsia="ko-KR"/>
        </w:rPr>
        <w:t>R to support NTN are discussed</w:t>
      </w:r>
      <w:r w:rsidR="003965BD" w:rsidRPr="003965BD">
        <w:rPr>
          <w:sz w:val="22"/>
          <w:szCs w:val="22"/>
          <w:lang w:val="en-US" w:eastAsia="ko-KR"/>
        </w:rPr>
        <w:t xml:space="preserve"> </w:t>
      </w:r>
      <w:r w:rsidR="003965BD">
        <w:rPr>
          <w:sz w:val="22"/>
          <w:szCs w:val="22"/>
          <w:lang w:val="en-US" w:eastAsia="ko-KR"/>
        </w:rPr>
        <w:t>including HARQ disabling and increased number of parallel HARQ processes</w:t>
      </w:r>
      <w:r w:rsidR="005A75DF">
        <w:rPr>
          <w:sz w:val="22"/>
          <w:szCs w:val="22"/>
          <w:lang w:eastAsia="ko-KR"/>
        </w:rPr>
        <w:t>.</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39154C19" w14:textId="4BD53F20" w:rsidR="00CD01DC" w:rsidRDefault="00436FE7" w:rsidP="00791321">
      <w:pPr>
        <w:spacing w:before="240"/>
        <w:jc w:val="both"/>
        <w:rPr>
          <w:sz w:val="22"/>
          <w:szCs w:val="22"/>
        </w:rPr>
      </w:pPr>
      <w:r>
        <w:rPr>
          <w:sz w:val="22"/>
          <w:szCs w:val="22"/>
        </w:rPr>
        <w:t xml:space="preserve">At the last RAN1 meeting the following agreement on HARQ was achieved. </w:t>
      </w:r>
    </w:p>
    <w:tbl>
      <w:tblPr>
        <w:tblStyle w:val="TableGrid"/>
        <w:tblW w:w="0" w:type="auto"/>
        <w:tblLook w:val="04A0" w:firstRow="1" w:lastRow="0" w:firstColumn="1" w:lastColumn="0" w:noHBand="0" w:noVBand="1"/>
      </w:tblPr>
      <w:tblGrid>
        <w:gridCol w:w="10160"/>
      </w:tblGrid>
      <w:tr w:rsidR="00436FE7" w14:paraId="14274F55" w14:textId="77777777" w:rsidTr="00436FE7">
        <w:tc>
          <w:tcPr>
            <w:tcW w:w="10160" w:type="dxa"/>
          </w:tcPr>
          <w:p w14:paraId="1322F663" w14:textId="77777777" w:rsidR="00436FE7" w:rsidRPr="00436FE7" w:rsidRDefault="00436FE7" w:rsidP="00436FE7">
            <w:pPr>
              <w:overflowPunct/>
              <w:autoSpaceDE/>
              <w:autoSpaceDN/>
              <w:adjustRightInd/>
              <w:spacing w:before="0" w:after="0"/>
              <w:textAlignment w:val="auto"/>
              <w:rPr>
                <w:rFonts w:ascii="Calibri" w:hAnsi="Calibri" w:cs="Calibri"/>
                <w:szCs w:val="22"/>
                <w:lang w:val="en-US" w:eastAsia="x-none"/>
              </w:rPr>
            </w:pPr>
            <w:r w:rsidRPr="00436FE7">
              <w:rPr>
                <w:rFonts w:ascii="Calibri" w:hAnsi="Calibri" w:cs="Calibri"/>
                <w:szCs w:val="22"/>
                <w:highlight w:val="green"/>
                <w:lang w:val="en-US" w:eastAsia="x-none"/>
              </w:rPr>
              <w:t>Agreement:</w:t>
            </w:r>
          </w:p>
          <w:p w14:paraId="3F52F96C" w14:textId="77777777" w:rsidR="00436FE7" w:rsidRPr="00436FE7" w:rsidRDefault="00436FE7" w:rsidP="00436FE7">
            <w:pPr>
              <w:overflowPunct/>
              <w:autoSpaceDE/>
              <w:autoSpaceDN/>
              <w:adjustRightInd/>
              <w:spacing w:before="0" w:after="0"/>
              <w:textAlignment w:val="auto"/>
              <w:rPr>
                <w:rFonts w:ascii="Calibri" w:hAnsi="Calibri" w:cs="Calibri"/>
                <w:szCs w:val="22"/>
                <w:lang w:val="en-US" w:eastAsia="x-none"/>
              </w:rPr>
            </w:pPr>
            <w:r w:rsidRPr="00436FE7">
              <w:rPr>
                <w:rFonts w:ascii="Calibri" w:hAnsi="Calibri" w:cs="Calibri"/>
                <w:szCs w:val="22"/>
                <w:lang w:val="en-US" w:eastAsia="x-none"/>
              </w:rPr>
              <w:t>Enabling/disabling on HARQ feedback for downlink transmission should be at least configurable per HARQ process via UE specific RRC signaling</w:t>
            </w:r>
          </w:p>
          <w:p w14:paraId="6D378CAF" w14:textId="77777777" w:rsidR="00436FE7" w:rsidRPr="00436FE7" w:rsidRDefault="00436FE7" w:rsidP="00436FE7">
            <w:pPr>
              <w:overflowPunct/>
              <w:autoSpaceDE/>
              <w:autoSpaceDN/>
              <w:adjustRightInd/>
              <w:spacing w:before="0" w:after="0"/>
              <w:textAlignment w:val="auto"/>
              <w:rPr>
                <w:rFonts w:ascii="Calibri" w:hAnsi="Calibri" w:cs="Calibri"/>
                <w:szCs w:val="22"/>
                <w:lang w:val="en-US" w:eastAsia="x-none"/>
              </w:rPr>
            </w:pPr>
          </w:p>
          <w:p w14:paraId="071CF75C" w14:textId="77777777" w:rsidR="00436FE7" w:rsidRPr="00436FE7" w:rsidRDefault="00436FE7" w:rsidP="00436FE7">
            <w:pPr>
              <w:overflowPunct/>
              <w:autoSpaceDE/>
              <w:autoSpaceDN/>
              <w:adjustRightInd/>
              <w:spacing w:before="0" w:after="0"/>
              <w:textAlignment w:val="auto"/>
              <w:rPr>
                <w:rFonts w:ascii="Calibri" w:hAnsi="Calibri" w:cs="Calibri"/>
                <w:szCs w:val="22"/>
                <w:lang w:val="en-US" w:eastAsia="x-none"/>
              </w:rPr>
            </w:pPr>
            <w:r w:rsidRPr="00436FE7">
              <w:rPr>
                <w:rFonts w:ascii="Calibri" w:hAnsi="Calibri" w:cs="Calibri"/>
                <w:szCs w:val="22"/>
                <w:highlight w:val="green"/>
                <w:lang w:val="en-US" w:eastAsia="x-none"/>
              </w:rPr>
              <w:t>Agreement:</w:t>
            </w:r>
          </w:p>
          <w:p w14:paraId="7D4A398B" w14:textId="77777777" w:rsidR="00436FE7" w:rsidRPr="00436FE7" w:rsidRDefault="00436FE7" w:rsidP="00436FE7">
            <w:pPr>
              <w:overflowPunct/>
              <w:autoSpaceDE/>
              <w:autoSpaceDN/>
              <w:adjustRightInd/>
              <w:spacing w:before="0" w:after="0"/>
              <w:textAlignment w:val="auto"/>
              <w:rPr>
                <w:rFonts w:ascii="Calibri" w:hAnsi="Calibri" w:cs="Calibri"/>
                <w:szCs w:val="22"/>
                <w:lang w:val="en-US" w:eastAsia="x-none"/>
              </w:rPr>
            </w:pPr>
            <w:r w:rsidRPr="00436FE7">
              <w:rPr>
                <w:rFonts w:ascii="Calibri" w:hAnsi="Calibri" w:cs="Calibri"/>
                <w:szCs w:val="22"/>
                <w:lang w:val="en-US" w:eastAsia="x-none"/>
              </w:rPr>
              <w:t>The extension of maximal HARQ process number can be considered with following assumptions:</w:t>
            </w:r>
          </w:p>
          <w:p w14:paraId="238E8162" w14:textId="77777777" w:rsidR="00436FE7" w:rsidRPr="00436FE7" w:rsidRDefault="00436FE7" w:rsidP="00436FE7">
            <w:pPr>
              <w:numPr>
                <w:ilvl w:val="0"/>
                <w:numId w:val="32"/>
              </w:numPr>
              <w:overflowPunct/>
              <w:autoSpaceDE/>
              <w:autoSpaceDN/>
              <w:adjustRightInd/>
              <w:spacing w:before="0" w:after="0"/>
              <w:textAlignment w:val="auto"/>
              <w:rPr>
                <w:rFonts w:ascii="Calibri" w:hAnsi="Calibri" w:cs="Calibri"/>
                <w:szCs w:val="22"/>
                <w:lang w:val="en-US" w:eastAsia="x-none"/>
              </w:rPr>
            </w:pPr>
            <w:r w:rsidRPr="00436FE7">
              <w:rPr>
                <w:rFonts w:ascii="Calibri" w:hAnsi="Calibri" w:cs="Calibri"/>
                <w:szCs w:val="22"/>
                <w:lang w:val="en-US" w:eastAsia="x-none"/>
              </w:rPr>
              <w:t>The maximal supported HARQ process number is up to 32.</w:t>
            </w:r>
          </w:p>
          <w:p w14:paraId="2D06580E" w14:textId="77777777" w:rsidR="00436FE7" w:rsidRPr="00436FE7" w:rsidRDefault="00436FE7" w:rsidP="00436FE7">
            <w:pPr>
              <w:numPr>
                <w:ilvl w:val="0"/>
                <w:numId w:val="32"/>
              </w:numPr>
              <w:overflowPunct/>
              <w:autoSpaceDE/>
              <w:autoSpaceDN/>
              <w:adjustRightInd/>
              <w:spacing w:before="0" w:after="0"/>
              <w:textAlignment w:val="auto"/>
              <w:rPr>
                <w:rFonts w:ascii="Calibri" w:hAnsi="Calibri" w:cs="Calibri"/>
                <w:szCs w:val="22"/>
                <w:lang w:val="en-US" w:eastAsia="x-none"/>
              </w:rPr>
            </w:pPr>
            <w:r w:rsidRPr="00436FE7">
              <w:rPr>
                <w:rFonts w:ascii="Calibri" w:hAnsi="Calibri" w:cs="Calibri"/>
                <w:szCs w:val="22"/>
                <w:lang w:val="en-US" w:eastAsia="x-none"/>
              </w:rPr>
              <w:t>FFS: Support on the maximal HARQ process number is up to UE capability</w:t>
            </w:r>
          </w:p>
          <w:p w14:paraId="4C37CFAF" w14:textId="7D73EDF0" w:rsidR="00436FE7" w:rsidRPr="00436FE7" w:rsidRDefault="00436FE7" w:rsidP="00436FE7">
            <w:pPr>
              <w:numPr>
                <w:ilvl w:val="0"/>
                <w:numId w:val="32"/>
              </w:numPr>
              <w:overflowPunct/>
              <w:autoSpaceDE/>
              <w:autoSpaceDN/>
              <w:adjustRightInd/>
              <w:spacing w:before="0"/>
              <w:textAlignment w:val="auto"/>
              <w:rPr>
                <w:rFonts w:ascii="Calibri" w:hAnsi="Calibri" w:cs="Calibri"/>
                <w:szCs w:val="22"/>
                <w:lang w:val="en-US" w:eastAsia="x-none"/>
              </w:rPr>
            </w:pPr>
            <w:r w:rsidRPr="00436FE7">
              <w:rPr>
                <w:rFonts w:ascii="Calibri" w:hAnsi="Calibri" w:cs="Calibri"/>
                <w:szCs w:val="22"/>
                <w:lang w:val="en-US" w:eastAsia="x-none"/>
              </w:rPr>
              <w:t>Minimizing the impacts on specification and scheduling</w:t>
            </w:r>
          </w:p>
        </w:tc>
      </w:tr>
    </w:tbl>
    <w:p w14:paraId="4EE37D13" w14:textId="57788FF1" w:rsidR="00436FE7" w:rsidRDefault="000612A7" w:rsidP="00791321">
      <w:pPr>
        <w:spacing w:before="240"/>
        <w:jc w:val="both"/>
        <w:rPr>
          <w:sz w:val="22"/>
          <w:szCs w:val="22"/>
        </w:rPr>
      </w:pPr>
      <w:r>
        <w:rPr>
          <w:sz w:val="22"/>
          <w:szCs w:val="22"/>
        </w:rPr>
        <w:t xml:space="preserve">The main reason to disable HARQ feedback is to avoid reduction in peak data rate due to stop-and-wait HARQ procedure with large </w:t>
      </w:r>
      <w:r w:rsidR="00BF3EF1">
        <w:rPr>
          <w:sz w:val="22"/>
          <w:szCs w:val="22"/>
        </w:rPr>
        <w:t>round-trip</w:t>
      </w:r>
      <w:r>
        <w:rPr>
          <w:sz w:val="22"/>
          <w:szCs w:val="22"/>
        </w:rPr>
        <w:t xml:space="preserve"> delay observed in NTN. </w:t>
      </w:r>
      <w:r w:rsidR="00D777D1">
        <w:rPr>
          <w:sz w:val="22"/>
          <w:szCs w:val="22"/>
        </w:rPr>
        <w:t>F</w:t>
      </w:r>
      <w:r w:rsidR="00BF3EF1">
        <w:rPr>
          <w:sz w:val="22"/>
          <w:szCs w:val="22"/>
        </w:rPr>
        <w:t>or HARQ processes without stop-and-wait</w:t>
      </w:r>
      <w:r w:rsidR="00D513E1">
        <w:rPr>
          <w:sz w:val="22"/>
          <w:szCs w:val="22"/>
        </w:rPr>
        <w:t xml:space="preserve"> HARQ feedback</w:t>
      </w:r>
      <w:r w:rsidR="00BF3EF1">
        <w:rPr>
          <w:sz w:val="22"/>
          <w:szCs w:val="22"/>
        </w:rPr>
        <w:t xml:space="preserve"> is not needed and can be disabled. </w:t>
      </w:r>
      <w:r w:rsidR="008D43C4">
        <w:rPr>
          <w:sz w:val="22"/>
          <w:szCs w:val="22"/>
        </w:rPr>
        <w:t>If HARQ feedback is disabled for a subset of HARQ processes</w:t>
      </w:r>
      <w:r w:rsidR="00BF3EF1">
        <w:rPr>
          <w:sz w:val="22"/>
          <w:szCs w:val="22"/>
        </w:rPr>
        <w:t xml:space="preserve"> enhancements may be required for HARQ codebook</w:t>
      </w:r>
      <w:r w:rsidR="000169D8">
        <w:rPr>
          <w:sz w:val="22"/>
          <w:szCs w:val="22"/>
        </w:rPr>
        <w:t xml:space="preserve"> design</w:t>
      </w:r>
      <w:r w:rsidR="00BF3EF1">
        <w:rPr>
          <w:sz w:val="22"/>
          <w:szCs w:val="22"/>
        </w:rPr>
        <w:t xml:space="preserve">. </w:t>
      </w:r>
    </w:p>
    <w:p w14:paraId="4066D26B" w14:textId="22B3FFDC" w:rsidR="00BF3EF1" w:rsidRDefault="00DC635D" w:rsidP="00791321">
      <w:pPr>
        <w:spacing w:before="240"/>
        <w:jc w:val="both"/>
        <w:rPr>
          <w:sz w:val="22"/>
          <w:szCs w:val="22"/>
        </w:rPr>
      </w:pPr>
      <w:r>
        <w:rPr>
          <w:sz w:val="22"/>
          <w:szCs w:val="22"/>
        </w:rPr>
        <w:lastRenderedPageBreak/>
        <w:t xml:space="preserve">Type I HARQ codebook relies only on semi-static configuration. </w:t>
      </w:r>
      <w:r w:rsidR="004A1D93">
        <w:rPr>
          <w:sz w:val="22"/>
          <w:szCs w:val="22"/>
        </w:rPr>
        <w:t xml:space="preserve">For Type I HARQ codebook it is assumed that </w:t>
      </w:r>
      <w:r>
        <w:rPr>
          <w:sz w:val="22"/>
          <w:szCs w:val="22"/>
        </w:rPr>
        <w:t xml:space="preserve">bit corresponding to possible PDSCH transmission is always present in the HARQ feedback, even if no DCI </w:t>
      </w:r>
      <w:r w:rsidR="00FA480F">
        <w:rPr>
          <w:sz w:val="22"/>
          <w:szCs w:val="22"/>
        </w:rPr>
        <w:t>with DL assignment</w:t>
      </w:r>
      <w:r>
        <w:rPr>
          <w:sz w:val="22"/>
          <w:szCs w:val="22"/>
        </w:rPr>
        <w:t xml:space="preserve"> was decoded. Such design may lead to higher HARQ feedback </w:t>
      </w:r>
      <w:r w:rsidR="00F144E5">
        <w:rPr>
          <w:sz w:val="22"/>
          <w:szCs w:val="22"/>
        </w:rPr>
        <w:t>overhead,</w:t>
      </w:r>
      <w:r>
        <w:rPr>
          <w:sz w:val="22"/>
          <w:szCs w:val="22"/>
        </w:rPr>
        <w:t xml:space="preserve"> but it allows to handle cases where UE misses scheduling DCI without any additional signalling in DL. </w:t>
      </w:r>
      <w:r w:rsidR="00DF5F68">
        <w:rPr>
          <w:sz w:val="22"/>
          <w:szCs w:val="22"/>
        </w:rPr>
        <w:t xml:space="preserve">It is not clear if </w:t>
      </w:r>
      <w:r w:rsidR="007B1ECB">
        <w:rPr>
          <w:sz w:val="22"/>
          <w:szCs w:val="22"/>
        </w:rPr>
        <w:t>reduction of bits for HARQ feedback</w:t>
      </w:r>
      <w:r w:rsidR="00DF5F68">
        <w:rPr>
          <w:sz w:val="22"/>
          <w:szCs w:val="22"/>
        </w:rPr>
        <w:t xml:space="preserve"> is possible for Type I HARQ codebook without any impact on the reliability. </w:t>
      </w:r>
      <w:r w:rsidR="00686B43">
        <w:rPr>
          <w:sz w:val="22"/>
          <w:szCs w:val="22"/>
        </w:rPr>
        <w:t xml:space="preserve">Thus, in order to retain reliability for mis decoding of DCI the same Type I HARQ codebook </w:t>
      </w:r>
      <w:r w:rsidR="004D6173">
        <w:rPr>
          <w:sz w:val="22"/>
          <w:szCs w:val="22"/>
        </w:rPr>
        <w:t>can</w:t>
      </w:r>
      <w:r w:rsidR="00686B43">
        <w:rPr>
          <w:sz w:val="22"/>
          <w:szCs w:val="22"/>
        </w:rPr>
        <w:t xml:space="preserve"> be used for the case with partially disable</w:t>
      </w:r>
      <w:r w:rsidR="00B5365F">
        <w:rPr>
          <w:sz w:val="22"/>
          <w:szCs w:val="22"/>
        </w:rPr>
        <w:t>d</w:t>
      </w:r>
      <w:r w:rsidR="00686B43">
        <w:rPr>
          <w:sz w:val="22"/>
          <w:szCs w:val="22"/>
        </w:rPr>
        <w:t xml:space="preserve"> HARQ feedback. </w:t>
      </w:r>
    </w:p>
    <w:p w14:paraId="31627B5C" w14:textId="01453621" w:rsidR="00DF5F68" w:rsidRDefault="00DF5F68" w:rsidP="00791321">
      <w:pPr>
        <w:spacing w:before="240"/>
        <w:jc w:val="both"/>
        <w:rPr>
          <w:sz w:val="22"/>
          <w:szCs w:val="22"/>
        </w:rPr>
      </w:pPr>
      <w:r>
        <w:rPr>
          <w:sz w:val="22"/>
          <w:szCs w:val="22"/>
        </w:rPr>
        <w:t xml:space="preserve">For the Type II HARQ codebook it is assumed that the number of bits in HARQ report is determined by downlink assignment index (DAI) indicated </w:t>
      </w:r>
      <w:r w:rsidR="00AC0218">
        <w:rPr>
          <w:sz w:val="22"/>
          <w:szCs w:val="22"/>
        </w:rPr>
        <w:t>in</w:t>
      </w:r>
      <w:r>
        <w:rPr>
          <w:sz w:val="22"/>
          <w:szCs w:val="22"/>
        </w:rPr>
        <w:t xml:space="preserve"> DCI. Thus, the number of bits for HARQ feedback with Type II HARQ codebook is variable. It can be reduced for the case where HARQ feedback is disabled for a subset of HARQ processes </w:t>
      </w:r>
      <w:r w:rsidR="00093B87">
        <w:rPr>
          <w:sz w:val="22"/>
          <w:szCs w:val="22"/>
        </w:rPr>
        <w:t xml:space="preserve">if </w:t>
      </w:r>
      <w:r>
        <w:rPr>
          <w:sz w:val="22"/>
          <w:szCs w:val="22"/>
        </w:rPr>
        <w:t>the corresponding DL assignment</w:t>
      </w:r>
      <w:r w:rsidR="00AC0218">
        <w:rPr>
          <w:sz w:val="22"/>
          <w:szCs w:val="22"/>
        </w:rPr>
        <w:t>s</w:t>
      </w:r>
      <w:r w:rsidR="00093B87">
        <w:rPr>
          <w:sz w:val="22"/>
          <w:szCs w:val="22"/>
        </w:rPr>
        <w:t xml:space="preserve"> are not counted for</w:t>
      </w:r>
      <w:r>
        <w:rPr>
          <w:sz w:val="22"/>
          <w:szCs w:val="22"/>
        </w:rPr>
        <w:t xml:space="preserve"> DAI and corresponding HARQ bits</w:t>
      </w:r>
      <w:r w:rsidR="009C2106">
        <w:rPr>
          <w:sz w:val="22"/>
          <w:szCs w:val="22"/>
        </w:rPr>
        <w:t xml:space="preserve"> are not included</w:t>
      </w:r>
      <w:r>
        <w:rPr>
          <w:sz w:val="22"/>
          <w:szCs w:val="22"/>
        </w:rPr>
        <w:t xml:space="preserve"> in HARQ feedback. </w:t>
      </w:r>
    </w:p>
    <w:p w14:paraId="19E86885" w14:textId="10CD41A2" w:rsidR="007B1ECB" w:rsidRDefault="007B1ECB" w:rsidP="00791321">
      <w:pPr>
        <w:spacing w:before="240"/>
        <w:jc w:val="both"/>
        <w:rPr>
          <w:sz w:val="22"/>
          <w:szCs w:val="22"/>
        </w:rPr>
      </w:pPr>
      <w:r w:rsidRPr="007B1ECB">
        <w:rPr>
          <w:b/>
          <w:bCs/>
          <w:i/>
          <w:iCs/>
          <w:sz w:val="22"/>
          <w:szCs w:val="22"/>
        </w:rPr>
        <w:t>Proposal 1</w:t>
      </w:r>
      <w:r>
        <w:rPr>
          <w:sz w:val="22"/>
          <w:szCs w:val="22"/>
        </w:rPr>
        <w:t xml:space="preserve">: </w:t>
      </w:r>
    </w:p>
    <w:p w14:paraId="7D8F3000" w14:textId="76E85EEF" w:rsidR="00686B43" w:rsidRDefault="009A5CF6" w:rsidP="007B1ECB">
      <w:pPr>
        <w:pStyle w:val="ListParagraph"/>
        <w:numPr>
          <w:ilvl w:val="0"/>
          <w:numId w:val="33"/>
        </w:numPr>
        <w:spacing w:before="240"/>
        <w:jc w:val="both"/>
        <w:rPr>
          <w:rFonts w:ascii="Times New Roman" w:hAnsi="Times New Roman"/>
          <w:i/>
          <w:iCs/>
        </w:rPr>
      </w:pPr>
      <w:r>
        <w:rPr>
          <w:rFonts w:ascii="Times New Roman" w:hAnsi="Times New Roman"/>
          <w:i/>
          <w:iCs/>
        </w:rPr>
        <w:t>Support</w:t>
      </w:r>
      <w:r w:rsidR="00686B43">
        <w:rPr>
          <w:rFonts w:ascii="Times New Roman" w:hAnsi="Times New Roman"/>
          <w:i/>
          <w:iCs/>
        </w:rPr>
        <w:t xml:space="preserve"> Rel. 15</w:t>
      </w:r>
      <w:r w:rsidR="00686B43" w:rsidRPr="00686B43">
        <w:rPr>
          <w:rFonts w:ascii="Times New Roman" w:hAnsi="Times New Roman"/>
          <w:i/>
          <w:iCs/>
        </w:rPr>
        <w:t xml:space="preserve"> Type I HARQ codebook</w:t>
      </w:r>
      <w:r w:rsidR="00686B43">
        <w:rPr>
          <w:rFonts w:ascii="Times New Roman" w:hAnsi="Times New Roman"/>
          <w:i/>
          <w:iCs/>
        </w:rPr>
        <w:t xml:space="preserve"> for</w:t>
      </w:r>
      <w:r>
        <w:rPr>
          <w:rFonts w:ascii="Times New Roman" w:hAnsi="Times New Roman"/>
          <w:i/>
          <w:iCs/>
        </w:rPr>
        <w:t xml:space="preserve"> the case where HARQ feedback is disabled for a subset of HARQ processes</w:t>
      </w:r>
    </w:p>
    <w:p w14:paraId="2D5B94C8" w14:textId="7E14264A" w:rsidR="007B1ECB" w:rsidRDefault="007B1ECB" w:rsidP="007B1ECB">
      <w:pPr>
        <w:pStyle w:val="ListParagraph"/>
        <w:numPr>
          <w:ilvl w:val="0"/>
          <w:numId w:val="33"/>
        </w:numPr>
        <w:spacing w:before="240"/>
        <w:jc w:val="both"/>
        <w:rPr>
          <w:rFonts w:ascii="Times New Roman" w:hAnsi="Times New Roman"/>
          <w:i/>
          <w:iCs/>
        </w:rPr>
      </w:pPr>
      <w:r w:rsidRPr="007B1ECB">
        <w:rPr>
          <w:rFonts w:ascii="Times New Roman" w:hAnsi="Times New Roman"/>
          <w:i/>
          <w:iCs/>
        </w:rPr>
        <w:t xml:space="preserve">For Type II HARQ codebook, </w:t>
      </w:r>
      <w:r w:rsidR="00EB64E2">
        <w:rPr>
          <w:rFonts w:ascii="Times New Roman" w:hAnsi="Times New Roman"/>
          <w:i/>
          <w:iCs/>
        </w:rPr>
        <w:t>PDSCH</w:t>
      </w:r>
      <w:r w:rsidR="0002614E" w:rsidRPr="0002614E">
        <w:rPr>
          <w:rFonts w:ascii="Times New Roman" w:hAnsi="Times New Roman"/>
          <w:i/>
          <w:iCs/>
        </w:rPr>
        <w:t xml:space="preserve"> </w:t>
      </w:r>
      <w:r w:rsidRPr="007B1ECB">
        <w:rPr>
          <w:rFonts w:ascii="Times New Roman" w:hAnsi="Times New Roman"/>
          <w:i/>
          <w:iCs/>
        </w:rPr>
        <w:t xml:space="preserve">with disabled HARQ feedback </w:t>
      </w:r>
      <w:r w:rsidR="00E023E4">
        <w:rPr>
          <w:rFonts w:ascii="Times New Roman" w:hAnsi="Times New Roman"/>
          <w:i/>
          <w:iCs/>
        </w:rPr>
        <w:t>is</w:t>
      </w:r>
      <w:r w:rsidRPr="007B1ECB">
        <w:rPr>
          <w:rFonts w:ascii="Times New Roman" w:hAnsi="Times New Roman"/>
          <w:i/>
          <w:iCs/>
        </w:rPr>
        <w:t xml:space="preserve"> not counted for DAI and the corresponding ACK/NACK is not transmitted by the UE</w:t>
      </w:r>
    </w:p>
    <w:p w14:paraId="4E2153C2" w14:textId="13435780" w:rsidR="00E02BF4" w:rsidRPr="00E02BF4" w:rsidRDefault="00E02BF4" w:rsidP="003C1D08">
      <w:pPr>
        <w:spacing w:before="240"/>
        <w:jc w:val="both"/>
        <w:rPr>
          <w:b/>
          <w:bCs/>
          <w:sz w:val="22"/>
          <w:szCs w:val="22"/>
        </w:rPr>
      </w:pPr>
      <w:r>
        <w:rPr>
          <w:sz w:val="22"/>
          <w:szCs w:val="22"/>
        </w:rPr>
        <w:t>There are some negative aspects related to support for increased number of parallel HARQ processes including larger number of bits for HARQ process ID indication in DCI. There are some solutions proposed in [2] which allow to increase the number of HARQ</w:t>
      </w:r>
      <w:r w:rsidR="006172C4">
        <w:rPr>
          <w:sz w:val="22"/>
          <w:szCs w:val="22"/>
        </w:rPr>
        <w:t xml:space="preserve"> processes</w:t>
      </w:r>
      <w:r>
        <w:rPr>
          <w:sz w:val="22"/>
          <w:szCs w:val="22"/>
        </w:rPr>
        <w:t xml:space="preserve"> without increased number of DCI bits. For example, HARQ process ID may be determined based on the index of the slot where the corresponding TB is transmitted. </w:t>
      </w:r>
      <w:r w:rsidR="00B15ADB">
        <w:rPr>
          <w:sz w:val="22"/>
          <w:szCs w:val="22"/>
        </w:rPr>
        <w:t xml:space="preserve">Thus, we propose to support determination of HARQ process ID </w:t>
      </w:r>
      <w:r w:rsidR="00B15ADB" w:rsidRPr="00B15ADB">
        <w:rPr>
          <w:sz w:val="22"/>
          <w:szCs w:val="22"/>
        </w:rPr>
        <w:t>based on DCI indication and slot index of the corresponding transmission</w:t>
      </w:r>
      <w:r w:rsidR="00B15ADB">
        <w:rPr>
          <w:sz w:val="22"/>
          <w:szCs w:val="22"/>
        </w:rPr>
        <w:t>.</w:t>
      </w:r>
    </w:p>
    <w:p w14:paraId="228A66E9" w14:textId="129A8D09" w:rsidR="003C1D08" w:rsidRDefault="00F877A4" w:rsidP="003C1D08">
      <w:pPr>
        <w:spacing w:before="240"/>
        <w:jc w:val="both"/>
        <w:rPr>
          <w:sz w:val="22"/>
          <w:szCs w:val="22"/>
        </w:rPr>
      </w:pPr>
      <w:r w:rsidRPr="00E02BF4">
        <w:rPr>
          <w:b/>
          <w:bCs/>
          <w:i/>
          <w:iCs/>
          <w:sz w:val="22"/>
          <w:szCs w:val="22"/>
        </w:rPr>
        <w:t>Proposal 2</w:t>
      </w:r>
      <w:r>
        <w:rPr>
          <w:sz w:val="22"/>
          <w:szCs w:val="22"/>
        </w:rPr>
        <w:t xml:space="preserve">: </w:t>
      </w:r>
    </w:p>
    <w:p w14:paraId="2F5730C9" w14:textId="77777777" w:rsidR="00F877A4" w:rsidRPr="00F877A4" w:rsidRDefault="00F877A4" w:rsidP="00F877A4">
      <w:pPr>
        <w:pStyle w:val="ListParagraph"/>
        <w:numPr>
          <w:ilvl w:val="0"/>
          <w:numId w:val="34"/>
        </w:numPr>
        <w:spacing w:before="240"/>
        <w:jc w:val="both"/>
        <w:rPr>
          <w:rFonts w:ascii="Times New Roman" w:hAnsi="Times New Roman"/>
          <w:i/>
          <w:iCs/>
        </w:rPr>
      </w:pPr>
      <w:r w:rsidRPr="00F877A4">
        <w:rPr>
          <w:rFonts w:ascii="Times New Roman" w:hAnsi="Times New Roman"/>
          <w:i/>
          <w:iCs/>
        </w:rPr>
        <w:t xml:space="preserve">If 32 parallel HARQ processes are supported for NTN, </w:t>
      </w:r>
    </w:p>
    <w:p w14:paraId="3EF762DD" w14:textId="2ABE20CA" w:rsidR="00F877A4" w:rsidRPr="00F877A4" w:rsidRDefault="00F877A4" w:rsidP="00F877A4">
      <w:pPr>
        <w:pStyle w:val="ListParagraph"/>
        <w:numPr>
          <w:ilvl w:val="1"/>
          <w:numId w:val="34"/>
        </w:numPr>
        <w:spacing w:before="240"/>
        <w:jc w:val="both"/>
        <w:rPr>
          <w:rFonts w:ascii="Times New Roman" w:hAnsi="Times New Roman"/>
          <w:i/>
          <w:iCs/>
        </w:rPr>
      </w:pPr>
      <w:r w:rsidRPr="00F877A4">
        <w:rPr>
          <w:rFonts w:ascii="Times New Roman" w:hAnsi="Times New Roman"/>
          <w:i/>
          <w:iCs/>
        </w:rPr>
        <w:t>HARQ process ID is determined based on DCI indication and slot index of the corresponding transmission</w:t>
      </w:r>
    </w:p>
    <w:p w14:paraId="7FCB833D" w14:textId="7D51D803" w:rsidR="00F877A4" w:rsidRPr="00F877A4" w:rsidRDefault="00F877A4" w:rsidP="00F877A4">
      <w:pPr>
        <w:pStyle w:val="ListParagraph"/>
        <w:numPr>
          <w:ilvl w:val="2"/>
          <w:numId w:val="34"/>
        </w:numPr>
        <w:spacing w:before="240"/>
        <w:jc w:val="both"/>
        <w:rPr>
          <w:rFonts w:ascii="Times New Roman" w:hAnsi="Times New Roman"/>
          <w:i/>
          <w:iCs/>
        </w:rPr>
      </w:pPr>
      <w:r w:rsidRPr="00F877A4">
        <w:rPr>
          <w:rFonts w:ascii="Times New Roman" w:hAnsi="Times New Roman"/>
          <w:i/>
          <w:iCs/>
        </w:rPr>
        <w:t>4 bits are used for HARQ process ID indication in DCI</w:t>
      </w:r>
    </w:p>
    <w:p w14:paraId="6ACA37CF" w14:textId="1A9B701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19DE1233" w14:textId="6E80432F" w:rsidR="005260FF" w:rsidRDefault="00E17F6E" w:rsidP="00B36D01">
      <w:pPr>
        <w:jc w:val="both"/>
        <w:rPr>
          <w:sz w:val="22"/>
          <w:szCs w:val="22"/>
        </w:rPr>
      </w:pPr>
      <w:r w:rsidRPr="000B4ADF">
        <w:rPr>
          <w:sz w:val="22"/>
          <w:szCs w:val="22"/>
          <w:lang w:eastAsia="ko-KR"/>
        </w:rPr>
        <w:t xml:space="preserve">In this contribution aspects related to </w:t>
      </w:r>
      <w:r w:rsidR="003918AF">
        <w:rPr>
          <w:sz w:val="22"/>
          <w:szCs w:val="22"/>
          <w:lang w:eastAsia="ko-KR"/>
        </w:rPr>
        <w:t>HARQ operation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are made.</w:t>
      </w:r>
    </w:p>
    <w:p w14:paraId="2FC59E84" w14:textId="77777777" w:rsidR="00EF0149" w:rsidRDefault="00EF0149" w:rsidP="00EF0149">
      <w:pPr>
        <w:spacing w:before="240"/>
        <w:jc w:val="both"/>
        <w:rPr>
          <w:sz w:val="22"/>
          <w:szCs w:val="22"/>
        </w:rPr>
      </w:pPr>
      <w:r w:rsidRPr="007B1ECB">
        <w:rPr>
          <w:b/>
          <w:bCs/>
          <w:i/>
          <w:iCs/>
          <w:sz w:val="22"/>
          <w:szCs w:val="22"/>
        </w:rPr>
        <w:t>Proposal 1</w:t>
      </w:r>
      <w:r>
        <w:rPr>
          <w:sz w:val="22"/>
          <w:szCs w:val="22"/>
        </w:rPr>
        <w:t xml:space="preserve">: </w:t>
      </w:r>
    </w:p>
    <w:p w14:paraId="4B5EE866" w14:textId="77777777" w:rsidR="00EF0149" w:rsidRDefault="00EF0149" w:rsidP="00EF0149">
      <w:pPr>
        <w:pStyle w:val="ListParagraph"/>
        <w:numPr>
          <w:ilvl w:val="0"/>
          <w:numId w:val="33"/>
        </w:numPr>
        <w:spacing w:before="240"/>
        <w:jc w:val="both"/>
        <w:rPr>
          <w:rFonts w:ascii="Times New Roman" w:hAnsi="Times New Roman"/>
          <w:i/>
          <w:iCs/>
        </w:rPr>
      </w:pPr>
      <w:r>
        <w:rPr>
          <w:rFonts w:ascii="Times New Roman" w:hAnsi="Times New Roman"/>
          <w:i/>
          <w:iCs/>
        </w:rPr>
        <w:t>Support Rel. 15</w:t>
      </w:r>
      <w:r w:rsidRPr="00686B43">
        <w:rPr>
          <w:rFonts w:ascii="Times New Roman" w:hAnsi="Times New Roman"/>
          <w:i/>
          <w:iCs/>
        </w:rPr>
        <w:t xml:space="preserve"> Type I HARQ codebook</w:t>
      </w:r>
      <w:r>
        <w:rPr>
          <w:rFonts w:ascii="Times New Roman" w:hAnsi="Times New Roman"/>
          <w:i/>
          <w:iCs/>
        </w:rPr>
        <w:t xml:space="preserve"> for the case where HARQ feedback is disabled for a subset of HARQ processes</w:t>
      </w:r>
    </w:p>
    <w:p w14:paraId="13065E9C" w14:textId="7041F90A" w:rsidR="00EF0149" w:rsidRDefault="00EF0149" w:rsidP="00EF0149">
      <w:pPr>
        <w:pStyle w:val="ListParagraph"/>
        <w:numPr>
          <w:ilvl w:val="0"/>
          <w:numId w:val="33"/>
        </w:numPr>
        <w:spacing w:before="240"/>
        <w:jc w:val="both"/>
        <w:rPr>
          <w:rFonts w:ascii="Times New Roman" w:hAnsi="Times New Roman"/>
          <w:i/>
          <w:iCs/>
        </w:rPr>
      </w:pPr>
      <w:r w:rsidRPr="007B1ECB">
        <w:rPr>
          <w:rFonts w:ascii="Times New Roman" w:hAnsi="Times New Roman"/>
          <w:i/>
          <w:iCs/>
        </w:rPr>
        <w:t xml:space="preserve">For Type II HARQ codebook, </w:t>
      </w:r>
      <w:r w:rsidR="006A3E4E">
        <w:rPr>
          <w:rFonts w:ascii="Times New Roman" w:hAnsi="Times New Roman"/>
          <w:i/>
          <w:iCs/>
        </w:rPr>
        <w:t>PDSCH</w:t>
      </w:r>
      <w:r w:rsidR="009A2D36">
        <w:rPr>
          <w:rFonts w:ascii="Times New Roman" w:hAnsi="Times New Roman"/>
          <w:i/>
          <w:iCs/>
        </w:rPr>
        <w:t xml:space="preserve"> </w:t>
      </w:r>
      <w:r w:rsidRPr="007B1ECB">
        <w:rPr>
          <w:rFonts w:ascii="Times New Roman" w:hAnsi="Times New Roman"/>
          <w:i/>
          <w:iCs/>
        </w:rPr>
        <w:t xml:space="preserve">with disabled HARQ feedback </w:t>
      </w:r>
      <w:r w:rsidR="00A82913">
        <w:rPr>
          <w:rFonts w:ascii="Times New Roman" w:hAnsi="Times New Roman"/>
          <w:i/>
          <w:iCs/>
        </w:rPr>
        <w:t>is</w:t>
      </w:r>
      <w:bookmarkStart w:id="0" w:name="_GoBack"/>
      <w:bookmarkEnd w:id="0"/>
      <w:r w:rsidRPr="007B1ECB">
        <w:rPr>
          <w:rFonts w:ascii="Times New Roman" w:hAnsi="Times New Roman"/>
          <w:i/>
          <w:iCs/>
        </w:rPr>
        <w:t xml:space="preserve"> not counted for DAI and the corresponding ACK/NACK is not transmitted by the UE</w:t>
      </w:r>
    </w:p>
    <w:p w14:paraId="760BDD0C" w14:textId="77777777" w:rsidR="009D055F" w:rsidRDefault="009D055F" w:rsidP="00E60706">
      <w:pPr>
        <w:spacing w:before="240"/>
        <w:jc w:val="both"/>
        <w:rPr>
          <w:b/>
          <w:bCs/>
          <w:i/>
          <w:iCs/>
          <w:sz w:val="22"/>
          <w:szCs w:val="22"/>
          <w:lang w:val="en-US"/>
        </w:rPr>
      </w:pPr>
    </w:p>
    <w:p w14:paraId="228B8C1D" w14:textId="03A1ECF3" w:rsidR="00E60706" w:rsidRDefault="00E60706" w:rsidP="00E60706">
      <w:pPr>
        <w:spacing w:before="240"/>
        <w:jc w:val="both"/>
        <w:rPr>
          <w:sz w:val="22"/>
          <w:szCs w:val="22"/>
        </w:rPr>
      </w:pPr>
      <w:r w:rsidRPr="00E02BF4">
        <w:rPr>
          <w:b/>
          <w:bCs/>
          <w:i/>
          <w:iCs/>
          <w:sz w:val="22"/>
          <w:szCs w:val="22"/>
        </w:rPr>
        <w:lastRenderedPageBreak/>
        <w:t>Proposal 2</w:t>
      </w:r>
      <w:r>
        <w:rPr>
          <w:sz w:val="22"/>
          <w:szCs w:val="22"/>
        </w:rPr>
        <w:t xml:space="preserve">: </w:t>
      </w:r>
    </w:p>
    <w:p w14:paraId="5E8AEC35" w14:textId="77777777" w:rsidR="00E60706" w:rsidRPr="00F877A4" w:rsidRDefault="00E60706" w:rsidP="00E60706">
      <w:pPr>
        <w:pStyle w:val="ListParagraph"/>
        <w:numPr>
          <w:ilvl w:val="0"/>
          <w:numId w:val="34"/>
        </w:numPr>
        <w:spacing w:before="240"/>
        <w:jc w:val="both"/>
        <w:rPr>
          <w:rFonts w:ascii="Times New Roman" w:hAnsi="Times New Roman"/>
          <w:i/>
          <w:iCs/>
        </w:rPr>
      </w:pPr>
      <w:r w:rsidRPr="00F877A4">
        <w:rPr>
          <w:rFonts w:ascii="Times New Roman" w:hAnsi="Times New Roman"/>
          <w:i/>
          <w:iCs/>
        </w:rPr>
        <w:t xml:space="preserve">If 32 parallel HARQ processes are supported for NTN, </w:t>
      </w:r>
    </w:p>
    <w:p w14:paraId="12948586" w14:textId="77777777" w:rsidR="00E60706" w:rsidRPr="00F877A4" w:rsidRDefault="00E60706" w:rsidP="00E60706">
      <w:pPr>
        <w:pStyle w:val="ListParagraph"/>
        <w:numPr>
          <w:ilvl w:val="1"/>
          <w:numId w:val="34"/>
        </w:numPr>
        <w:spacing w:before="240"/>
        <w:jc w:val="both"/>
        <w:rPr>
          <w:rFonts w:ascii="Times New Roman" w:hAnsi="Times New Roman"/>
          <w:i/>
          <w:iCs/>
        </w:rPr>
      </w:pPr>
      <w:r w:rsidRPr="00F877A4">
        <w:rPr>
          <w:rFonts w:ascii="Times New Roman" w:hAnsi="Times New Roman"/>
          <w:i/>
          <w:iCs/>
        </w:rPr>
        <w:t>HARQ process ID is determined based on DCI indication and slot index of the corresponding transmission</w:t>
      </w:r>
    </w:p>
    <w:p w14:paraId="499E5264" w14:textId="4E134EC5" w:rsidR="003918AF" w:rsidRPr="00E60706" w:rsidRDefault="00E60706" w:rsidP="00727AFF">
      <w:pPr>
        <w:pStyle w:val="ListParagraph"/>
        <w:numPr>
          <w:ilvl w:val="2"/>
          <w:numId w:val="34"/>
        </w:numPr>
        <w:spacing w:before="240"/>
        <w:jc w:val="both"/>
        <w:rPr>
          <w:rFonts w:ascii="Times New Roman" w:hAnsi="Times New Roman"/>
          <w:i/>
          <w:iCs/>
        </w:rPr>
      </w:pPr>
      <w:r w:rsidRPr="00F877A4">
        <w:rPr>
          <w:rFonts w:ascii="Times New Roman" w:hAnsi="Times New Roman"/>
          <w:i/>
          <w:iCs/>
        </w:rPr>
        <w:t>4 bits are used for HARQ process ID indication in DCI</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F263444" w14:textId="29AF7732" w:rsidR="00F225E4" w:rsidRPr="0059205E" w:rsidRDefault="00CF7DE4" w:rsidP="0059205E">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sectPr w:rsidR="00F225E4" w:rsidRPr="0059205E"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4B145" w14:textId="77777777" w:rsidR="009D166A" w:rsidRDefault="009D166A">
      <w:r>
        <w:separator/>
      </w:r>
    </w:p>
  </w:endnote>
  <w:endnote w:type="continuationSeparator" w:id="0">
    <w:p w14:paraId="209DE5F5" w14:textId="77777777" w:rsidR="009D166A" w:rsidRDefault="009D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A8EF2" w14:textId="77777777" w:rsidR="004A2545" w:rsidRDefault="004A2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47275" w14:textId="77777777" w:rsidR="009D166A" w:rsidRDefault="009D166A">
      <w:r>
        <w:separator/>
      </w:r>
    </w:p>
  </w:footnote>
  <w:footnote w:type="continuationSeparator" w:id="0">
    <w:p w14:paraId="72B4B5E5" w14:textId="77777777" w:rsidR="009D166A" w:rsidRDefault="009D1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B03AA" w14:textId="77777777" w:rsidR="004A2545" w:rsidRDefault="004A25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B462" w14:textId="77777777" w:rsidR="004A2545" w:rsidRDefault="004A2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57501E"/>
    <w:multiLevelType w:val="hybridMultilevel"/>
    <w:tmpl w:val="5B8C72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1903A88"/>
    <w:multiLevelType w:val="hybridMultilevel"/>
    <w:tmpl w:val="8362B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3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9"/>
  </w:num>
  <w:num w:numId="7">
    <w:abstractNumId w:val="3"/>
  </w:num>
  <w:num w:numId="8">
    <w:abstractNumId w:val="30"/>
  </w:num>
  <w:num w:numId="9">
    <w:abstractNumId w:val="1"/>
  </w:num>
  <w:num w:numId="10">
    <w:abstractNumId w:val="2"/>
  </w:num>
  <w:num w:numId="11">
    <w:abstractNumId w:val="4"/>
  </w:num>
  <w:num w:numId="12">
    <w:abstractNumId w:val="7"/>
  </w:num>
  <w:num w:numId="13">
    <w:abstractNumId w:val="27"/>
  </w:num>
  <w:num w:numId="14">
    <w:abstractNumId w:val="33"/>
  </w:num>
  <w:num w:numId="15">
    <w:abstractNumId w:val="5"/>
  </w:num>
  <w:num w:numId="16">
    <w:abstractNumId w:val="17"/>
  </w:num>
  <w:num w:numId="17">
    <w:abstractNumId w:val="26"/>
  </w:num>
  <w:num w:numId="18">
    <w:abstractNumId w:val="22"/>
  </w:num>
  <w:num w:numId="19">
    <w:abstractNumId w:val="19"/>
  </w:num>
  <w:num w:numId="20">
    <w:abstractNumId w:val="28"/>
  </w:num>
  <w:num w:numId="21">
    <w:abstractNumId w:val="32"/>
  </w:num>
  <w:num w:numId="22">
    <w:abstractNumId w:val="8"/>
  </w:num>
  <w:num w:numId="23">
    <w:abstractNumId w:val="31"/>
  </w:num>
  <w:num w:numId="24">
    <w:abstractNumId w:val="24"/>
  </w:num>
  <w:num w:numId="25">
    <w:abstractNumId w:val="6"/>
  </w:num>
  <w:num w:numId="26">
    <w:abstractNumId w:val="14"/>
  </w:num>
  <w:num w:numId="27">
    <w:abstractNumId w:val="13"/>
  </w:num>
  <w:num w:numId="28">
    <w:abstractNumId w:val="18"/>
  </w:num>
  <w:num w:numId="29">
    <w:abstractNumId w:val="20"/>
  </w:num>
  <w:num w:numId="30">
    <w:abstractNumId w:val="12"/>
  </w:num>
  <w:num w:numId="31">
    <w:abstractNumId w:val="9"/>
  </w:num>
  <w:num w:numId="32">
    <w:abstractNumId w:val="25"/>
  </w:num>
  <w:num w:numId="33">
    <w:abstractNumId w:val="16"/>
  </w:num>
  <w:num w:numId="3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D1"/>
    <w:rsid w:val="00011703"/>
    <w:rsid w:val="000123D7"/>
    <w:rsid w:val="000124D1"/>
    <w:rsid w:val="0001256E"/>
    <w:rsid w:val="00012D90"/>
    <w:rsid w:val="000131A4"/>
    <w:rsid w:val="000131B5"/>
    <w:rsid w:val="0001321B"/>
    <w:rsid w:val="00013412"/>
    <w:rsid w:val="00013462"/>
    <w:rsid w:val="00013633"/>
    <w:rsid w:val="000137FF"/>
    <w:rsid w:val="00013983"/>
    <w:rsid w:val="00013B63"/>
    <w:rsid w:val="000141F0"/>
    <w:rsid w:val="00014392"/>
    <w:rsid w:val="000149D0"/>
    <w:rsid w:val="0001595F"/>
    <w:rsid w:val="000159CB"/>
    <w:rsid w:val="00015B1D"/>
    <w:rsid w:val="00015BCB"/>
    <w:rsid w:val="000162B2"/>
    <w:rsid w:val="000169D8"/>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BA8"/>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14E"/>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5D1"/>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A7"/>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461"/>
    <w:rsid w:val="000667D1"/>
    <w:rsid w:val="00066D02"/>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260"/>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08F"/>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B87"/>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749"/>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A9"/>
    <w:rsid w:val="001138BF"/>
    <w:rsid w:val="00113D8F"/>
    <w:rsid w:val="00113EBE"/>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91D"/>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52E"/>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037"/>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8DD"/>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BBD"/>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22"/>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3D2"/>
    <w:rsid w:val="00310CC6"/>
    <w:rsid w:val="00310CFB"/>
    <w:rsid w:val="00311642"/>
    <w:rsid w:val="00311761"/>
    <w:rsid w:val="00311941"/>
    <w:rsid w:val="00311AFC"/>
    <w:rsid w:val="003121B8"/>
    <w:rsid w:val="00313452"/>
    <w:rsid w:val="003137A0"/>
    <w:rsid w:val="003137ED"/>
    <w:rsid w:val="00313A6F"/>
    <w:rsid w:val="00313C4F"/>
    <w:rsid w:val="00313CF8"/>
    <w:rsid w:val="00313E2B"/>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551"/>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68B"/>
    <w:rsid w:val="00343752"/>
    <w:rsid w:val="00343BA9"/>
    <w:rsid w:val="00343C24"/>
    <w:rsid w:val="00343F02"/>
    <w:rsid w:val="00343FE5"/>
    <w:rsid w:val="0034404F"/>
    <w:rsid w:val="00344291"/>
    <w:rsid w:val="003443F2"/>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59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79"/>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E9A"/>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8AF"/>
    <w:rsid w:val="00391A92"/>
    <w:rsid w:val="00391AC7"/>
    <w:rsid w:val="0039249C"/>
    <w:rsid w:val="003926BE"/>
    <w:rsid w:val="003926C2"/>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5BD"/>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85C"/>
    <w:rsid w:val="003C1D08"/>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C69"/>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64D"/>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909"/>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68"/>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B87"/>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6FE7"/>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47653"/>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90C"/>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D08"/>
    <w:rsid w:val="004944BE"/>
    <w:rsid w:val="00494D25"/>
    <w:rsid w:val="00494E75"/>
    <w:rsid w:val="00495071"/>
    <w:rsid w:val="00495126"/>
    <w:rsid w:val="00495227"/>
    <w:rsid w:val="00495822"/>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1D93"/>
    <w:rsid w:val="004A201F"/>
    <w:rsid w:val="004A23B8"/>
    <w:rsid w:val="004A23C0"/>
    <w:rsid w:val="004A2496"/>
    <w:rsid w:val="004A2545"/>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9E"/>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A8E"/>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173"/>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AE4"/>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D54"/>
    <w:rsid w:val="00515E2B"/>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4CA"/>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05E"/>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3AA"/>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1B9"/>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4F8A"/>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2C4"/>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D52"/>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67C"/>
    <w:rsid w:val="00683D7F"/>
    <w:rsid w:val="00683EF3"/>
    <w:rsid w:val="00684258"/>
    <w:rsid w:val="006849EB"/>
    <w:rsid w:val="00684A0D"/>
    <w:rsid w:val="006851D7"/>
    <w:rsid w:val="006856B4"/>
    <w:rsid w:val="00685725"/>
    <w:rsid w:val="00685D3B"/>
    <w:rsid w:val="0068623E"/>
    <w:rsid w:val="00686366"/>
    <w:rsid w:val="0068653A"/>
    <w:rsid w:val="0068655C"/>
    <w:rsid w:val="0068673B"/>
    <w:rsid w:val="006868CB"/>
    <w:rsid w:val="00686B43"/>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E4E"/>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4DC6"/>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95E"/>
    <w:rsid w:val="006D7B93"/>
    <w:rsid w:val="006D7DAD"/>
    <w:rsid w:val="006E0B16"/>
    <w:rsid w:val="006E0E60"/>
    <w:rsid w:val="006E0ED0"/>
    <w:rsid w:val="006E176F"/>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4E2E"/>
    <w:rsid w:val="007052F3"/>
    <w:rsid w:val="00705584"/>
    <w:rsid w:val="00705B80"/>
    <w:rsid w:val="00705D51"/>
    <w:rsid w:val="00705E96"/>
    <w:rsid w:val="00706513"/>
    <w:rsid w:val="00706AAB"/>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BF0"/>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55"/>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AFF"/>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4B0"/>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B7E"/>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49E"/>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37D"/>
    <w:rsid w:val="007715FA"/>
    <w:rsid w:val="007718CC"/>
    <w:rsid w:val="0077199F"/>
    <w:rsid w:val="007719DC"/>
    <w:rsid w:val="00771D89"/>
    <w:rsid w:val="007721AD"/>
    <w:rsid w:val="00772C97"/>
    <w:rsid w:val="00772D15"/>
    <w:rsid w:val="00772D4C"/>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321"/>
    <w:rsid w:val="007916D2"/>
    <w:rsid w:val="007917E8"/>
    <w:rsid w:val="00791ADE"/>
    <w:rsid w:val="00791BEA"/>
    <w:rsid w:val="00791F98"/>
    <w:rsid w:val="007920D9"/>
    <w:rsid w:val="0079258C"/>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5C66"/>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2FA"/>
    <w:rsid w:val="007A15BA"/>
    <w:rsid w:val="007A166E"/>
    <w:rsid w:val="007A18EB"/>
    <w:rsid w:val="007A1922"/>
    <w:rsid w:val="007A1B63"/>
    <w:rsid w:val="007A1DA1"/>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9BF"/>
    <w:rsid w:val="007A3BF2"/>
    <w:rsid w:val="007A3C41"/>
    <w:rsid w:val="007A4264"/>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ECB"/>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453"/>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293"/>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94F"/>
    <w:rsid w:val="00845F51"/>
    <w:rsid w:val="00845F5B"/>
    <w:rsid w:val="00845F6D"/>
    <w:rsid w:val="00846106"/>
    <w:rsid w:val="008462E7"/>
    <w:rsid w:val="00846394"/>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811"/>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3C4"/>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633"/>
    <w:rsid w:val="008E290D"/>
    <w:rsid w:val="008E2B47"/>
    <w:rsid w:val="008E2C59"/>
    <w:rsid w:val="008E2D58"/>
    <w:rsid w:val="008E329C"/>
    <w:rsid w:val="008E35C0"/>
    <w:rsid w:val="008E378A"/>
    <w:rsid w:val="008E388C"/>
    <w:rsid w:val="008E3D78"/>
    <w:rsid w:val="008E3F52"/>
    <w:rsid w:val="008E412D"/>
    <w:rsid w:val="008E414B"/>
    <w:rsid w:val="008E427C"/>
    <w:rsid w:val="008E4471"/>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80"/>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CAF"/>
    <w:rsid w:val="0095506D"/>
    <w:rsid w:val="00955074"/>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67C"/>
    <w:rsid w:val="00962874"/>
    <w:rsid w:val="0096292B"/>
    <w:rsid w:val="0096336E"/>
    <w:rsid w:val="009633FC"/>
    <w:rsid w:val="00963763"/>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A1F"/>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CC1"/>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2D36"/>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CF6"/>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2106"/>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55F"/>
    <w:rsid w:val="009D0720"/>
    <w:rsid w:val="009D079F"/>
    <w:rsid w:val="009D0897"/>
    <w:rsid w:val="009D08B7"/>
    <w:rsid w:val="009D0B4D"/>
    <w:rsid w:val="009D0C84"/>
    <w:rsid w:val="009D0E3A"/>
    <w:rsid w:val="009D0F01"/>
    <w:rsid w:val="009D1371"/>
    <w:rsid w:val="009D166A"/>
    <w:rsid w:val="009D1D55"/>
    <w:rsid w:val="009D2118"/>
    <w:rsid w:val="009D22EA"/>
    <w:rsid w:val="009D28A4"/>
    <w:rsid w:val="009D2A06"/>
    <w:rsid w:val="009D2BEA"/>
    <w:rsid w:val="009D2C43"/>
    <w:rsid w:val="009D313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28E"/>
    <w:rsid w:val="009D54F5"/>
    <w:rsid w:val="009D60A4"/>
    <w:rsid w:val="009D610C"/>
    <w:rsid w:val="009D62E7"/>
    <w:rsid w:val="009D6959"/>
    <w:rsid w:val="009D69D5"/>
    <w:rsid w:val="009D69E5"/>
    <w:rsid w:val="009D6B8A"/>
    <w:rsid w:val="009D75A4"/>
    <w:rsid w:val="009E02CF"/>
    <w:rsid w:val="009E04D4"/>
    <w:rsid w:val="009E0D42"/>
    <w:rsid w:val="009E0E9B"/>
    <w:rsid w:val="009E0FC3"/>
    <w:rsid w:val="009E1095"/>
    <w:rsid w:val="009E11A9"/>
    <w:rsid w:val="009E1544"/>
    <w:rsid w:val="009E176B"/>
    <w:rsid w:val="009E1D4E"/>
    <w:rsid w:val="009E1E13"/>
    <w:rsid w:val="009E1E2D"/>
    <w:rsid w:val="009E1EA2"/>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4E"/>
    <w:rsid w:val="009E775F"/>
    <w:rsid w:val="009E78D9"/>
    <w:rsid w:val="009E798E"/>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2E45"/>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28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13"/>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19"/>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218"/>
    <w:rsid w:val="00AC039B"/>
    <w:rsid w:val="00AC04DC"/>
    <w:rsid w:val="00AC0825"/>
    <w:rsid w:val="00AC0B27"/>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AB3"/>
    <w:rsid w:val="00AD5F2C"/>
    <w:rsid w:val="00AD6C7F"/>
    <w:rsid w:val="00AD6D46"/>
    <w:rsid w:val="00AD6D70"/>
    <w:rsid w:val="00AD6E82"/>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52B"/>
    <w:rsid w:val="00B146A7"/>
    <w:rsid w:val="00B147CC"/>
    <w:rsid w:val="00B14DE2"/>
    <w:rsid w:val="00B150B5"/>
    <w:rsid w:val="00B15141"/>
    <w:rsid w:val="00B151C6"/>
    <w:rsid w:val="00B15358"/>
    <w:rsid w:val="00B1537F"/>
    <w:rsid w:val="00B158C2"/>
    <w:rsid w:val="00B15A0F"/>
    <w:rsid w:val="00B15ADB"/>
    <w:rsid w:val="00B1624D"/>
    <w:rsid w:val="00B16562"/>
    <w:rsid w:val="00B167A6"/>
    <w:rsid w:val="00B16A36"/>
    <w:rsid w:val="00B16B5F"/>
    <w:rsid w:val="00B1736C"/>
    <w:rsid w:val="00B17744"/>
    <w:rsid w:val="00B20057"/>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6D01"/>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1B7"/>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65F"/>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65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5E5D"/>
    <w:rsid w:val="00BE60DC"/>
    <w:rsid w:val="00BE6149"/>
    <w:rsid w:val="00BE61CF"/>
    <w:rsid w:val="00BE65B3"/>
    <w:rsid w:val="00BE6D82"/>
    <w:rsid w:val="00BE6FCB"/>
    <w:rsid w:val="00BE72B2"/>
    <w:rsid w:val="00BE7888"/>
    <w:rsid w:val="00BE78FD"/>
    <w:rsid w:val="00BE790E"/>
    <w:rsid w:val="00BE7B27"/>
    <w:rsid w:val="00BE7F7C"/>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31CB"/>
    <w:rsid w:val="00BF34B3"/>
    <w:rsid w:val="00BF3BCB"/>
    <w:rsid w:val="00BF3C10"/>
    <w:rsid w:val="00BF3E35"/>
    <w:rsid w:val="00BF3EF1"/>
    <w:rsid w:val="00BF3FFA"/>
    <w:rsid w:val="00BF46F1"/>
    <w:rsid w:val="00BF4755"/>
    <w:rsid w:val="00BF4B69"/>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DC2"/>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40C"/>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2EE8"/>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08B"/>
    <w:rsid w:val="00C3661D"/>
    <w:rsid w:val="00C36726"/>
    <w:rsid w:val="00C36965"/>
    <w:rsid w:val="00C36DAD"/>
    <w:rsid w:val="00C37050"/>
    <w:rsid w:val="00C3731A"/>
    <w:rsid w:val="00C37493"/>
    <w:rsid w:val="00C376DB"/>
    <w:rsid w:val="00C3795B"/>
    <w:rsid w:val="00C37F07"/>
    <w:rsid w:val="00C37F4A"/>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64E"/>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5F9D"/>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1DC"/>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605"/>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10"/>
    <w:rsid w:val="00CF1AA6"/>
    <w:rsid w:val="00CF1EBA"/>
    <w:rsid w:val="00CF2087"/>
    <w:rsid w:val="00CF20C8"/>
    <w:rsid w:val="00CF233B"/>
    <w:rsid w:val="00CF23D5"/>
    <w:rsid w:val="00CF2639"/>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E1"/>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7D1"/>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35D"/>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3"/>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4D"/>
    <w:rsid w:val="00DD1ED7"/>
    <w:rsid w:val="00DD1F59"/>
    <w:rsid w:val="00DD23D2"/>
    <w:rsid w:val="00DD242B"/>
    <w:rsid w:val="00DD2572"/>
    <w:rsid w:val="00DD28CE"/>
    <w:rsid w:val="00DD2E90"/>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4F4"/>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B6F"/>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5F68"/>
    <w:rsid w:val="00DF6014"/>
    <w:rsid w:val="00DF62C9"/>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3E4"/>
    <w:rsid w:val="00E028E6"/>
    <w:rsid w:val="00E029B7"/>
    <w:rsid w:val="00E02BF4"/>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761"/>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684"/>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706"/>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AEB"/>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11E"/>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4D29"/>
    <w:rsid w:val="00EA5029"/>
    <w:rsid w:val="00EA5335"/>
    <w:rsid w:val="00EA5EBA"/>
    <w:rsid w:val="00EA5F1A"/>
    <w:rsid w:val="00EA6506"/>
    <w:rsid w:val="00EA677A"/>
    <w:rsid w:val="00EA67B0"/>
    <w:rsid w:val="00EA6D38"/>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4E2"/>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149"/>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4E5"/>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AEC"/>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7A4"/>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4C2"/>
    <w:rsid w:val="00FA2526"/>
    <w:rsid w:val="00FA25D5"/>
    <w:rsid w:val="00FA2AB0"/>
    <w:rsid w:val="00FA3C84"/>
    <w:rsid w:val="00FA3FC0"/>
    <w:rsid w:val="00FA4230"/>
    <w:rsid w:val="00FA480F"/>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22B"/>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80A"/>
    <w:rsid w:val="00FF5BF1"/>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4A88B641-0A60-4077-8B5E-68A2EB8F5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21031</TotalTime>
  <Pages>3</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5393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1451</cp:revision>
  <cp:lastPrinted>2011-11-09T07:49:00Z</cp:lastPrinted>
  <dcterms:created xsi:type="dcterms:W3CDTF">2018-11-02T18:38:00Z</dcterms:created>
  <dcterms:modified xsi:type="dcterms:W3CDTF">2020-10-24T05:32:00Z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e477d955-2289-4f77-a564-e6e10f6c7f81</vt:lpwstr>
  </property>
  <property fmtid="{D5CDD505-2E9C-101B-9397-08002B2CF9AE}" pid="10" name="CTP_BU">
    <vt:lpwstr>TSCG CENTRAL GROUP</vt:lpwstr>
  </property>
  <property fmtid="{D5CDD505-2E9C-101B-9397-08002B2CF9AE}" pid="11" name="CTP_TimeStamp">
    <vt:lpwstr>2020-08-07 17:35:10Z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2020-10-22T08:39:41.7946425Z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55cb21b9-feaa-4872-8f06-24de863acc65</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